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100"/>
        <w:gridCol w:w="7543"/>
      </w:tblGrid>
      <w:tr w:rsidR="00502D60" w:rsidRPr="00BE1033">
        <w:tc>
          <w:tcPr>
            <w:tcW w:w="2100" w:type="dxa"/>
            <w:tcBorders>
              <w:top w:val="single" w:sz="2" w:space="0" w:color="000000"/>
              <w:left w:val="single" w:sz="2" w:space="0" w:color="000000"/>
              <w:bottom w:val="single" w:sz="2" w:space="0" w:color="000000"/>
            </w:tcBorders>
            <w:shd w:val="clear" w:color="auto" w:fill="auto"/>
            <w:tcMar>
              <w:left w:w="54" w:type="dxa"/>
            </w:tcMar>
          </w:tcPr>
          <w:p w:rsidR="00502D60" w:rsidRPr="00BE1033" w:rsidRDefault="00E953EB">
            <w:pPr>
              <w:jc w:val="center"/>
              <w:rPr>
                <w:rFonts w:asciiTheme="minorHAnsi" w:hAnsiTheme="minorHAnsi" w:cstheme="minorHAnsi"/>
                <w:b/>
                <w:bCs/>
                <w:sz w:val="28"/>
                <w:szCs w:val="28"/>
              </w:rPr>
            </w:pPr>
            <w:r w:rsidRPr="00BE1033">
              <w:rPr>
                <w:rFonts w:asciiTheme="minorHAnsi" w:hAnsiTheme="minorHAnsi" w:cstheme="minorHAnsi"/>
                <w:b/>
                <w:bCs/>
                <w:sz w:val="28"/>
                <w:szCs w:val="28"/>
              </w:rPr>
              <w:t>Dazibao</w:t>
            </w:r>
          </w:p>
        </w:tc>
        <w:tc>
          <w:tcPr>
            <w:tcW w:w="754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02D60" w:rsidRPr="00BE1033" w:rsidRDefault="00E953EB">
            <w:pPr>
              <w:jc w:val="center"/>
              <w:rPr>
                <w:rFonts w:asciiTheme="minorHAnsi" w:hAnsiTheme="minorHAnsi" w:cstheme="minorHAnsi"/>
                <w:b/>
                <w:bCs/>
                <w:sz w:val="28"/>
                <w:szCs w:val="28"/>
              </w:rPr>
            </w:pPr>
            <w:r w:rsidRPr="00BE1033">
              <w:rPr>
                <w:rFonts w:asciiTheme="minorHAnsi" w:hAnsiTheme="minorHAnsi" w:cstheme="minorHAnsi"/>
                <w:b/>
                <w:bCs/>
                <w:sz w:val="28"/>
                <w:szCs w:val="28"/>
              </w:rPr>
              <w:t>Présentation de la nouvelle formule</w:t>
            </w:r>
          </w:p>
          <w:p w:rsidR="00502D60" w:rsidRPr="00BE1033" w:rsidRDefault="00E953EB">
            <w:pPr>
              <w:jc w:val="center"/>
              <w:rPr>
                <w:rFonts w:asciiTheme="minorHAnsi" w:hAnsiTheme="minorHAnsi" w:cstheme="minorHAnsi"/>
                <w:b/>
                <w:bCs/>
                <w:sz w:val="28"/>
                <w:szCs w:val="28"/>
              </w:rPr>
            </w:pPr>
            <w:r w:rsidRPr="00BE1033">
              <w:rPr>
                <w:rFonts w:asciiTheme="minorHAnsi" w:hAnsiTheme="minorHAnsi" w:cstheme="minorHAnsi"/>
                <w:b/>
                <w:bCs/>
                <w:sz w:val="28"/>
                <w:szCs w:val="28"/>
              </w:rPr>
              <w:t>- Volet juridique et social / « Après-Centre » -</w:t>
            </w:r>
          </w:p>
        </w:tc>
      </w:tr>
    </w:tbl>
    <w:p w:rsidR="00502D60" w:rsidRPr="00BE1033" w:rsidRDefault="00502D60">
      <w:pPr>
        <w:rPr>
          <w:rFonts w:asciiTheme="minorHAnsi" w:hAnsiTheme="minorHAnsi" w:cstheme="minorHAnsi"/>
        </w:rPr>
      </w:pPr>
    </w:p>
    <w:p w:rsidR="00502D60" w:rsidRPr="00BE1033" w:rsidRDefault="00502D60">
      <w:pPr>
        <w:rPr>
          <w:rFonts w:asciiTheme="minorHAnsi" w:hAnsiTheme="minorHAnsi" w:cstheme="minorHAnsi"/>
        </w:rPr>
      </w:pPr>
    </w:p>
    <w:p w:rsidR="00502D60" w:rsidRPr="00BE1033" w:rsidRDefault="00E953EB">
      <w:pPr>
        <w:rPr>
          <w:rFonts w:asciiTheme="minorHAnsi" w:hAnsiTheme="minorHAnsi" w:cstheme="minorHAnsi"/>
        </w:rPr>
      </w:pPr>
      <w:r w:rsidRPr="00BE1033">
        <w:rPr>
          <w:rFonts w:asciiTheme="minorHAnsi" w:hAnsiTheme="minorHAnsi" w:cstheme="minorHAnsi"/>
        </w:rPr>
        <w:t>Chers Responsables Formations des Centres Croix-Rouge,</w:t>
      </w:r>
    </w:p>
    <w:p w:rsidR="00502D60" w:rsidRPr="00BE1033" w:rsidRDefault="00502D60">
      <w:pPr>
        <w:rPr>
          <w:rFonts w:asciiTheme="minorHAnsi" w:hAnsiTheme="minorHAnsi" w:cstheme="minorHAnsi"/>
        </w:rPr>
      </w:pPr>
    </w:p>
    <w:p w:rsidR="00502D60" w:rsidRPr="00BE1033" w:rsidRDefault="00E953EB" w:rsidP="00A87A4A">
      <w:pPr>
        <w:jc w:val="both"/>
        <w:rPr>
          <w:rFonts w:asciiTheme="minorHAnsi" w:hAnsiTheme="minorHAnsi" w:cstheme="minorHAnsi"/>
        </w:rPr>
      </w:pPr>
      <w:r w:rsidRPr="00BE1033">
        <w:rPr>
          <w:rFonts w:asciiTheme="minorHAnsi" w:hAnsiTheme="minorHAnsi" w:cstheme="minorHAnsi"/>
        </w:rPr>
        <w:t>Afin de mieux correspondre aux besoins des demandeurs d'asile, la formation Dazibao a été modifiée tant</w:t>
      </w:r>
      <w:r w:rsidRPr="00BE1033">
        <w:rPr>
          <w:rFonts w:asciiTheme="minorHAnsi" w:hAnsiTheme="minorHAnsi" w:cstheme="minorHAnsi"/>
        </w:rPr>
        <w:t xml:space="preserve"> au niveau de son format que dans son contenu.</w:t>
      </w:r>
    </w:p>
    <w:p w:rsidR="00502D60" w:rsidRPr="00BE1033" w:rsidRDefault="00E953EB">
      <w:pPr>
        <w:jc w:val="both"/>
        <w:rPr>
          <w:rFonts w:asciiTheme="minorHAnsi" w:hAnsiTheme="minorHAnsi" w:cstheme="minorHAnsi"/>
        </w:rPr>
      </w:pPr>
      <w:r w:rsidRPr="00BE1033">
        <w:rPr>
          <w:rFonts w:asciiTheme="minorHAnsi" w:hAnsiTheme="minorHAnsi" w:cstheme="minorHAnsi"/>
        </w:rPr>
        <w:t>Vous trouverez dans ce document les précisions qui vous permettront d’informer et d’orienter vos résidents.</w:t>
      </w:r>
    </w:p>
    <w:p w:rsidR="00502D60" w:rsidRPr="00BE1033" w:rsidRDefault="00502D60">
      <w:pPr>
        <w:jc w:val="both"/>
        <w:rPr>
          <w:rFonts w:asciiTheme="minorHAnsi" w:hAnsiTheme="minorHAnsi" w:cstheme="minorHAnsi"/>
        </w:rPr>
      </w:pPr>
    </w:p>
    <w:p w:rsidR="00502D60" w:rsidRPr="00BE1033" w:rsidRDefault="00502D60">
      <w:pPr>
        <w:pBdr>
          <w:bottom w:val="single" w:sz="2" w:space="2" w:color="000000"/>
        </w:pBdr>
        <w:rPr>
          <w:rFonts w:asciiTheme="minorHAnsi" w:hAnsiTheme="minorHAnsi" w:cstheme="minorHAnsi"/>
        </w:rPr>
      </w:pPr>
    </w:p>
    <w:p w:rsidR="00502D60" w:rsidRPr="00BE1033" w:rsidRDefault="00502D60">
      <w:pPr>
        <w:rPr>
          <w:rFonts w:asciiTheme="minorHAnsi" w:hAnsiTheme="minorHAnsi" w:cstheme="minorHAnsi"/>
        </w:rPr>
      </w:pPr>
    </w:p>
    <w:p w:rsidR="00502D60" w:rsidRPr="00BE1033" w:rsidRDefault="00E953EB">
      <w:pPr>
        <w:rPr>
          <w:rFonts w:asciiTheme="minorHAnsi" w:hAnsiTheme="minorHAnsi" w:cstheme="minorHAnsi"/>
        </w:rPr>
      </w:pPr>
      <w:r w:rsidRPr="00BE1033">
        <w:rPr>
          <w:rFonts w:asciiTheme="minorHAnsi" w:hAnsiTheme="minorHAnsi" w:cstheme="minorHAnsi"/>
          <w:u w:val="single"/>
        </w:rPr>
        <w:t>3 formations Dazibao distinctes</w:t>
      </w:r>
      <w:r w:rsidRPr="00BE1033">
        <w:rPr>
          <w:rFonts w:asciiTheme="minorHAnsi" w:hAnsiTheme="minorHAnsi" w:cstheme="minorHAnsi"/>
        </w:rPr>
        <w:t xml:space="preserve"> : </w:t>
      </w:r>
    </w:p>
    <w:p w:rsidR="00502D60" w:rsidRPr="00BE1033" w:rsidRDefault="00502D60">
      <w:pPr>
        <w:rPr>
          <w:rFonts w:asciiTheme="minorHAnsi" w:hAnsiTheme="minorHAnsi" w:cstheme="minorHAnsi"/>
        </w:rPr>
      </w:pPr>
    </w:p>
    <w:p w:rsidR="00502D60" w:rsidRPr="00BE1033" w:rsidRDefault="00E953EB">
      <w:pPr>
        <w:rPr>
          <w:rFonts w:asciiTheme="minorHAnsi" w:hAnsiTheme="minorHAnsi" w:cstheme="minorHAnsi"/>
        </w:rPr>
      </w:pPr>
      <w:r w:rsidRPr="00BE1033">
        <w:rPr>
          <w:rFonts w:asciiTheme="minorHAnsi" w:hAnsiTheme="minorHAnsi" w:cstheme="minorHAnsi"/>
        </w:rPr>
        <w:t xml:space="preserve">- </w:t>
      </w:r>
      <w:r w:rsidRPr="00BE1033">
        <w:rPr>
          <w:rFonts w:asciiTheme="minorHAnsi" w:hAnsiTheme="minorHAnsi" w:cstheme="minorHAnsi"/>
          <w:b/>
          <w:bCs/>
        </w:rPr>
        <w:t xml:space="preserve">Volet « Après-Centre » </w:t>
      </w:r>
      <w:r w:rsidRPr="00BE1033">
        <w:rPr>
          <w:rFonts w:asciiTheme="minorHAnsi" w:hAnsiTheme="minorHAnsi" w:cstheme="minorHAnsi"/>
        </w:rPr>
        <w:t>: informations juridiques et sociales</w:t>
      </w:r>
    </w:p>
    <w:p w:rsidR="00502D60" w:rsidRPr="00BE1033" w:rsidRDefault="00E953EB">
      <w:pPr>
        <w:rPr>
          <w:rFonts w:asciiTheme="minorHAnsi" w:hAnsiTheme="minorHAnsi" w:cstheme="minorHAnsi"/>
        </w:rPr>
      </w:pPr>
      <w:r w:rsidRPr="00BE1033">
        <w:rPr>
          <w:rFonts w:asciiTheme="minorHAnsi" w:hAnsiTheme="minorHAnsi" w:cstheme="minorHAnsi"/>
        </w:rPr>
        <w:t xml:space="preserve">- </w:t>
      </w:r>
      <w:r w:rsidRPr="00BE1033">
        <w:rPr>
          <w:rFonts w:asciiTheme="minorHAnsi" w:hAnsiTheme="minorHAnsi" w:cstheme="minorHAnsi"/>
          <w:b/>
          <w:bCs/>
        </w:rPr>
        <w:t>Volet NTIC </w:t>
      </w:r>
      <w:r w:rsidRPr="00BE1033">
        <w:rPr>
          <w:rFonts w:asciiTheme="minorHAnsi" w:hAnsiTheme="minorHAnsi" w:cstheme="minorHAnsi"/>
        </w:rPr>
        <w:t xml:space="preserve">: initiation à l’informatique </w:t>
      </w:r>
    </w:p>
    <w:p w:rsidR="00502D60" w:rsidRPr="00BE1033" w:rsidRDefault="00E953EB">
      <w:pPr>
        <w:rPr>
          <w:rFonts w:asciiTheme="minorHAnsi" w:hAnsiTheme="minorHAnsi" w:cstheme="minorHAnsi"/>
        </w:rPr>
      </w:pPr>
      <w:r w:rsidRPr="00BE1033">
        <w:rPr>
          <w:rFonts w:asciiTheme="minorHAnsi" w:hAnsiTheme="minorHAnsi" w:cstheme="minorHAnsi"/>
        </w:rPr>
        <w:t xml:space="preserve">- </w:t>
      </w:r>
      <w:r w:rsidRPr="00BE1033">
        <w:rPr>
          <w:rFonts w:asciiTheme="minorHAnsi" w:hAnsiTheme="minorHAnsi" w:cstheme="minorHAnsi"/>
          <w:b/>
          <w:bCs/>
        </w:rPr>
        <w:t>Volet Labour-</w:t>
      </w:r>
      <w:proofErr w:type="spellStart"/>
      <w:r w:rsidRPr="00BE1033">
        <w:rPr>
          <w:rFonts w:asciiTheme="minorHAnsi" w:hAnsiTheme="minorHAnsi" w:cstheme="minorHAnsi"/>
          <w:b/>
          <w:bCs/>
        </w:rPr>
        <w:t>int</w:t>
      </w:r>
      <w:proofErr w:type="spellEnd"/>
      <w:r w:rsidRPr="00BE1033">
        <w:rPr>
          <w:rFonts w:asciiTheme="minorHAnsi" w:hAnsiTheme="minorHAnsi" w:cstheme="minorHAnsi"/>
        </w:rPr>
        <w:t xml:space="preserve"> : préparation aux tests d’admission en promotion sociale et aux formations du </w:t>
      </w:r>
      <w:proofErr w:type="spellStart"/>
      <w:r w:rsidRPr="00BE1033">
        <w:rPr>
          <w:rFonts w:asciiTheme="minorHAnsi" w:hAnsiTheme="minorHAnsi" w:cstheme="minorHAnsi"/>
        </w:rPr>
        <w:t>Forem</w:t>
      </w:r>
      <w:proofErr w:type="spellEnd"/>
    </w:p>
    <w:p w:rsidR="00502D60" w:rsidRPr="00BE1033" w:rsidRDefault="00502D60">
      <w:pPr>
        <w:pBdr>
          <w:bottom w:val="single" w:sz="2" w:space="2" w:color="000000"/>
        </w:pBdr>
        <w:rPr>
          <w:rFonts w:asciiTheme="minorHAnsi" w:hAnsiTheme="minorHAnsi" w:cstheme="minorHAnsi"/>
        </w:rPr>
      </w:pPr>
    </w:p>
    <w:p w:rsidR="00502D60" w:rsidRPr="00BE1033" w:rsidRDefault="00502D60">
      <w:pPr>
        <w:rPr>
          <w:rFonts w:asciiTheme="minorHAnsi" w:hAnsiTheme="minorHAnsi" w:cstheme="minorHAnsi"/>
        </w:rPr>
      </w:pPr>
    </w:p>
    <w:p w:rsidR="00502D60" w:rsidRPr="00BE1033" w:rsidRDefault="00E953EB">
      <w:pPr>
        <w:rPr>
          <w:rFonts w:asciiTheme="minorHAnsi" w:hAnsiTheme="minorHAnsi" w:cstheme="minorHAnsi"/>
          <w:b/>
          <w:bCs/>
        </w:rPr>
      </w:pPr>
      <w:r w:rsidRPr="00BE1033">
        <w:rPr>
          <w:rFonts w:asciiTheme="minorHAnsi" w:hAnsiTheme="minorHAnsi" w:cstheme="minorHAnsi"/>
          <w:b/>
          <w:bCs/>
        </w:rPr>
        <w:t>Contenu du Dazibao « Après-Centre »</w:t>
      </w:r>
    </w:p>
    <w:p w:rsidR="00502D60" w:rsidRPr="00BE1033" w:rsidRDefault="00502D60">
      <w:pPr>
        <w:rPr>
          <w:rFonts w:asciiTheme="minorHAnsi" w:hAnsiTheme="minorHAnsi" w:cstheme="minorHAnsi"/>
        </w:rPr>
      </w:pPr>
    </w:p>
    <w:p w:rsidR="00502D60" w:rsidRPr="00BE1033" w:rsidRDefault="00E953EB">
      <w:pPr>
        <w:rPr>
          <w:rFonts w:asciiTheme="minorHAnsi" w:hAnsiTheme="minorHAnsi" w:cstheme="minorHAnsi"/>
        </w:rPr>
      </w:pPr>
      <w:r w:rsidRPr="00BE1033">
        <w:rPr>
          <w:rFonts w:asciiTheme="minorHAnsi" w:hAnsiTheme="minorHAnsi" w:cstheme="minorHAnsi"/>
          <w:u w:val="single"/>
        </w:rPr>
        <w:t xml:space="preserve">Différentes thématiques sont approfondies </w:t>
      </w:r>
      <w:r w:rsidRPr="00BE1033">
        <w:rPr>
          <w:rFonts w:asciiTheme="minorHAnsi" w:hAnsiTheme="minorHAnsi" w:cstheme="minorHAnsi"/>
        </w:rPr>
        <w:t>:</w:t>
      </w:r>
    </w:p>
    <w:p w:rsidR="00502D60" w:rsidRPr="00BE1033" w:rsidRDefault="00502D60">
      <w:pPr>
        <w:rPr>
          <w:rFonts w:asciiTheme="minorHAnsi" w:hAnsiTheme="minorHAnsi" w:cstheme="minorHAnsi"/>
        </w:rPr>
      </w:pPr>
    </w:p>
    <w:p w:rsidR="00502D60" w:rsidRPr="00A87A4A" w:rsidRDefault="00E953EB">
      <w:pPr>
        <w:rPr>
          <w:rFonts w:asciiTheme="minorHAnsi" w:hAnsiTheme="minorHAnsi" w:cstheme="minorHAnsi"/>
        </w:rPr>
      </w:pPr>
      <w:r w:rsidRPr="00A87A4A">
        <w:rPr>
          <w:rFonts w:asciiTheme="minorHAnsi" w:hAnsiTheme="minorHAnsi" w:cstheme="minorHAnsi"/>
        </w:rPr>
        <w:t xml:space="preserve">- </w:t>
      </w:r>
      <w:r w:rsidRPr="00A87A4A">
        <w:rPr>
          <w:rFonts w:asciiTheme="minorHAnsi" w:hAnsiTheme="minorHAnsi" w:cstheme="minorHAnsi"/>
          <w:b/>
        </w:rPr>
        <w:t>Logement</w:t>
      </w:r>
      <w:r w:rsidRPr="00A87A4A">
        <w:rPr>
          <w:rFonts w:asciiTheme="minorHAnsi" w:hAnsiTheme="minorHAnsi" w:cstheme="minorHAnsi"/>
        </w:rPr>
        <w:t> </w:t>
      </w:r>
      <w:r w:rsidRPr="00A87A4A">
        <w:rPr>
          <w:rFonts w:asciiTheme="minorHAnsi" w:hAnsiTheme="minorHAnsi" w:cstheme="minorHAnsi"/>
        </w:rPr>
        <w:t>: recherche d</w:t>
      </w:r>
      <w:r w:rsidRPr="00A87A4A">
        <w:rPr>
          <w:rFonts w:asciiTheme="minorHAnsi" w:hAnsiTheme="minorHAnsi" w:cstheme="minorHAnsi"/>
        </w:rPr>
        <w:t xml:space="preserve">’un logement, informations relatives au contrat de bail, état des lieux, démarches administratives (avec le CPAS, les opérateurs d’électricité, les assurances, etc.), mise en garde contre les marchands de sommeil, logement des sans-abris et personnes sans </w:t>
      </w:r>
      <w:r w:rsidRPr="00A87A4A">
        <w:rPr>
          <w:rFonts w:asciiTheme="minorHAnsi" w:hAnsiTheme="minorHAnsi" w:cstheme="minorHAnsi"/>
        </w:rPr>
        <w:t>titre de séjour légal.</w:t>
      </w:r>
    </w:p>
    <w:p w:rsidR="00502D60" w:rsidRPr="00A87A4A" w:rsidRDefault="00E953EB">
      <w:pPr>
        <w:rPr>
          <w:rFonts w:asciiTheme="minorHAnsi" w:hAnsiTheme="minorHAnsi" w:cstheme="minorHAnsi"/>
        </w:rPr>
      </w:pPr>
      <w:r w:rsidRPr="00A87A4A">
        <w:rPr>
          <w:rFonts w:asciiTheme="minorHAnsi" w:hAnsiTheme="minorHAnsi" w:cstheme="minorHAnsi"/>
        </w:rPr>
        <w:t xml:space="preserve">- </w:t>
      </w:r>
      <w:r w:rsidRPr="00A87A4A">
        <w:rPr>
          <w:rFonts w:asciiTheme="minorHAnsi" w:hAnsiTheme="minorHAnsi" w:cstheme="minorHAnsi"/>
          <w:b/>
        </w:rPr>
        <w:t>Santé</w:t>
      </w:r>
      <w:r w:rsidRPr="00A87A4A">
        <w:rPr>
          <w:rFonts w:asciiTheme="minorHAnsi" w:hAnsiTheme="minorHAnsi" w:cstheme="minorHAnsi"/>
        </w:rPr>
        <w:t> </w:t>
      </w:r>
      <w:r w:rsidRPr="00A87A4A">
        <w:rPr>
          <w:rFonts w:asciiTheme="minorHAnsi" w:hAnsiTheme="minorHAnsi" w:cstheme="minorHAnsi"/>
        </w:rPr>
        <w:t>: organisation des soins de santé en Belgique, prévention des IST, aide médicale urgente pour les sans-papiers.</w:t>
      </w:r>
    </w:p>
    <w:p w:rsidR="00502D60" w:rsidRPr="00A87A4A" w:rsidRDefault="00E953EB">
      <w:pPr>
        <w:rPr>
          <w:rFonts w:asciiTheme="minorHAnsi" w:hAnsiTheme="minorHAnsi" w:cstheme="minorHAnsi"/>
        </w:rPr>
      </w:pPr>
      <w:r w:rsidRPr="00A87A4A">
        <w:rPr>
          <w:rFonts w:asciiTheme="minorHAnsi" w:hAnsiTheme="minorHAnsi" w:cstheme="minorHAnsi"/>
        </w:rPr>
        <w:t xml:space="preserve">- </w:t>
      </w:r>
      <w:r w:rsidRPr="00A87A4A">
        <w:rPr>
          <w:rFonts w:asciiTheme="minorHAnsi" w:hAnsiTheme="minorHAnsi" w:cstheme="minorHAnsi"/>
          <w:b/>
        </w:rPr>
        <w:t>Séjour</w:t>
      </w:r>
      <w:r w:rsidRPr="00A87A4A">
        <w:rPr>
          <w:rFonts w:asciiTheme="minorHAnsi" w:hAnsiTheme="minorHAnsi" w:cstheme="minorHAnsi"/>
        </w:rPr>
        <w:t> </w:t>
      </w:r>
      <w:r w:rsidRPr="00A87A4A">
        <w:rPr>
          <w:rFonts w:asciiTheme="minorHAnsi" w:hAnsiTheme="minorHAnsi" w:cstheme="minorHAnsi"/>
        </w:rPr>
        <w:t xml:space="preserve">: </w:t>
      </w:r>
      <w:r w:rsidRPr="00A87A4A">
        <w:rPr>
          <w:rFonts w:asciiTheme="minorHAnsi" w:hAnsiTheme="minorHAnsi" w:cstheme="minorHAnsi"/>
        </w:rPr>
        <w:t>regroupement familial, la nationalité et</w:t>
      </w:r>
      <w:r w:rsidRPr="00A87A4A">
        <w:rPr>
          <w:rFonts w:asciiTheme="minorHAnsi" w:hAnsiTheme="minorHAnsi" w:cstheme="minorHAnsi"/>
        </w:rPr>
        <w:t xml:space="preserve"> régularisation</w:t>
      </w:r>
      <w:r w:rsidR="00A87A4A" w:rsidRPr="00A87A4A">
        <w:rPr>
          <w:rFonts w:asciiTheme="minorHAnsi" w:hAnsiTheme="minorHAnsi" w:cstheme="minorHAnsi"/>
        </w:rPr>
        <w:t>s</w:t>
      </w:r>
      <w:r w:rsidRPr="00A87A4A">
        <w:rPr>
          <w:rFonts w:asciiTheme="minorHAnsi" w:hAnsiTheme="minorHAnsi" w:cstheme="minorHAnsi"/>
        </w:rPr>
        <w:t xml:space="preserve"> de séjour.</w:t>
      </w:r>
    </w:p>
    <w:p w:rsidR="00502D60" w:rsidRPr="00A87A4A" w:rsidRDefault="00E953EB">
      <w:pPr>
        <w:rPr>
          <w:rFonts w:asciiTheme="minorHAnsi" w:hAnsiTheme="minorHAnsi" w:cstheme="minorHAnsi"/>
        </w:rPr>
      </w:pPr>
      <w:r w:rsidRPr="00A87A4A">
        <w:rPr>
          <w:rFonts w:asciiTheme="minorHAnsi" w:hAnsiTheme="minorHAnsi" w:cstheme="minorHAnsi"/>
        </w:rPr>
        <w:t xml:space="preserve">- </w:t>
      </w:r>
      <w:r w:rsidRPr="00A87A4A">
        <w:rPr>
          <w:rFonts w:asciiTheme="minorHAnsi" w:hAnsiTheme="minorHAnsi" w:cstheme="minorHAnsi"/>
          <w:b/>
        </w:rPr>
        <w:t>Famille</w:t>
      </w:r>
      <w:r w:rsidRPr="00A87A4A">
        <w:rPr>
          <w:rFonts w:asciiTheme="minorHAnsi" w:hAnsiTheme="minorHAnsi" w:cstheme="minorHAnsi"/>
        </w:rPr>
        <w:t> </w:t>
      </w:r>
      <w:r w:rsidRPr="00A87A4A">
        <w:rPr>
          <w:rFonts w:asciiTheme="minorHAnsi" w:hAnsiTheme="minorHAnsi" w:cstheme="minorHAnsi"/>
        </w:rPr>
        <w:t>:</w:t>
      </w:r>
      <w:r w:rsidRPr="00A87A4A">
        <w:rPr>
          <w:rFonts w:asciiTheme="minorHAnsi" w:hAnsiTheme="minorHAnsi" w:cstheme="minorHAnsi"/>
        </w:rPr>
        <w:t xml:space="preserve"> informations sur le mariage, la cohabitation légale…</w:t>
      </w:r>
    </w:p>
    <w:p w:rsidR="00502D60" w:rsidRPr="00A87A4A" w:rsidRDefault="00E953EB">
      <w:pPr>
        <w:rPr>
          <w:rFonts w:asciiTheme="minorHAnsi" w:hAnsiTheme="minorHAnsi" w:cstheme="minorHAnsi"/>
        </w:rPr>
      </w:pPr>
      <w:r w:rsidRPr="00A87A4A">
        <w:rPr>
          <w:rFonts w:asciiTheme="minorHAnsi" w:hAnsiTheme="minorHAnsi" w:cstheme="minorHAnsi"/>
        </w:rPr>
        <w:t xml:space="preserve">- </w:t>
      </w:r>
      <w:r w:rsidRPr="00A87A4A">
        <w:rPr>
          <w:rFonts w:asciiTheme="minorHAnsi" w:hAnsiTheme="minorHAnsi" w:cstheme="minorHAnsi"/>
          <w:b/>
        </w:rPr>
        <w:t>Formation</w:t>
      </w:r>
      <w:r w:rsidRPr="00A87A4A">
        <w:rPr>
          <w:rFonts w:asciiTheme="minorHAnsi" w:hAnsiTheme="minorHAnsi" w:cstheme="minorHAnsi"/>
        </w:rPr>
        <w:t> </w:t>
      </w:r>
      <w:r w:rsidRPr="00A87A4A">
        <w:rPr>
          <w:rFonts w:asciiTheme="minorHAnsi" w:hAnsiTheme="minorHAnsi" w:cstheme="minorHAnsi"/>
        </w:rPr>
        <w:t>: équivalence de</w:t>
      </w:r>
      <w:r w:rsidR="00892A04">
        <w:rPr>
          <w:rFonts w:asciiTheme="minorHAnsi" w:hAnsiTheme="minorHAnsi" w:cstheme="minorHAnsi"/>
        </w:rPr>
        <w:t>s</w:t>
      </w:r>
      <w:r w:rsidRPr="00A87A4A">
        <w:rPr>
          <w:rFonts w:asciiTheme="minorHAnsi" w:hAnsiTheme="minorHAnsi" w:cstheme="minorHAnsi"/>
        </w:rPr>
        <w:t xml:space="preserve"> diplômes.</w:t>
      </w:r>
    </w:p>
    <w:p w:rsidR="00502D60" w:rsidRPr="00A87A4A" w:rsidRDefault="00E953EB">
      <w:pPr>
        <w:rPr>
          <w:rFonts w:asciiTheme="minorHAnsi" w:hAnsiTheme="minorHAnsi" w:cstheme="minorHAnsi"/>
        </w:rPr>
      </w:pPr>
      <w:r w:rsidRPr="00A87A4A">
        <w:rPr>
          <w:rFonts w:asciiTheme="minorHAnsi" w:hAnsiTheme="minorHAnsi" w:cstheme="minorHAnsi"/>
        </w:rPr>
        <w:t xml:space="preserve">- </w:t>
      </w:r>
      <w:r w:rsidRPr="00A87A4A">
        <w:rPr>
          <w:rFonts w:asciiTheme="minorHAnsi" w:hAnsiTheme="minorHAnsi" w:cstheme="minorHAnsi"/>
          <w:b/>
        </w:rPr>
        <w:t>Emploi</w:t>
      </w:r>
      <w:r w:rsidRPr="00A87A4A">
        <w:rPr>
          <w:rFonts w:asciiTheme="minorHAnsi" w:hAnsiTheme="minorHAnsi" w:cstheme="minorHAnsi"/>
        </w:rPr>
        <w:t> </w:t>
      </w:r>
      <w:r w:rsidRPr="00A87A4A">
        <w:rPr>
          <w:rFonts w:asciiTheme="minorHAnsi" w:hAnsiTheme="minorHAnsi" w:cstheme="minorHAnsi"/>
        </w:rPr>
        <w:t>: marché du travail, métiers en pénurie, lecture d’une fiche de paie, chômage et travail non-déclaré.</w:t>
      </w:r>
    </w:p>
    <w:p w:rsidR="00502D60" w:rsidRPr="00A87A4A" w:rsidRDefault="00E953EB">
      <w:pPr>
        <w:rPr>
          <w:rFonts w:asciiTheme="minorHAnsi" w:hAnsiTheme="minorHAnsi" w:cstheme="minorHAnsi"/>
        </w:rPr>
      </w:pPr>
      <w:r w:rsidRPr="00A87A4A">
        <w:rPr>
          <w:rFonts w:asciiTheme="minorHAnsi" w:hAnsiTheme="minorHAnsi" w:cstheme="minorHAnsi"/>
        </w:rPr>
        <w:t xml:space="preserve">- </w:t>
      </w:r>
      <w:r w:rsidRPr="00A87A4A">
        <w:rPr>
          <w:rFonts w:asciiTheme="minorHAnsi" w:hAnsiTheme="minorHAnsi" w:cstheme="minorHAnsi"/>
          <w:b/>
        </w:rPr>
        <w:t>Citoyenneté</w:t>
      </w:r>
      <w:r w:rsidRPr="00A87A4A">
        <w:rPr>
          <w:rFonts w:asciiTheme="minorHAnsi" w:hAnsiTheme="minorHAnsi" w:cstheme="minorHAnsi"/>
        </w:rPr>
        <w:t> </w:t>
      </w:r>
      <w:r w:rsidRPr="00A87A4A">
        <w:rPr>
          <w:rFonts w:asciiTheme="minorHAnsi" w:hAnsiTheme="minorHAnsi" w:cstheme="minorHAnsi"/>
        </w:rPr>
        <w:t xml:space="preserve">: vivre ensemble en Belgique, </w:t>
      </w:r>
      <w:r w:rsidR="00892A04">
        <w:rPr>
          <w:rFonts w:asciiTheme="minorHAnsi" w:hAnsiTheme="minorHAnsi" w:cstheme="minorHAnsi"/>
        </w:rPr>
        <w:t>engagement militant</w:t>
      </w:r>
      <w:r w:rsidRPr="00A87A4A">
        <w:rPr>
          <w:rFonts w:asciiTheme="minorHAnsi" w:hAnsiTheme="minorHAnsi" w:cstheme="minorHAnsi"/>
        </w:rPr>
        <w:t>.</w:t>
      </w:r>
    </w:p>
    <w:p w:rsidR="00502D60" w:rsidRPr="00A87A4A" w:rsidRDefault="00E953EB">
      <w:pPr>
        <w:rPr>
          <w:rFonts w:asciiTheme="minorHAnsi" w:hAnsiTheme="minorHAnsi" w:cstheme="minorHAnsi"/>
        </w:rPr>
      </w:pPr>
      <w:r w:rsidRPr="00A87A4A">
        <w:rPr>
          <w:rFonts w:asciiTheme="minorHAnsi" w:hAnsiTheme="minorHAnsi" w:cstheme="minorHAnsi"/>
        </w:rPr>
        <w:t xml:space="preserve">- </w:t>
      </w:r>
      <w:r w:rsidRPr="00A87A4A">
        <w:rPr>
          <w:rFonts w:asciiTheme="minorHAnsi" w:hAnsiTheme="minorHAnsi" w:cstheme="minorHAnsi"/>
          <w:b/>
        </w:rPr>
        <w:t>Parcours individuel</w:t>
      </w:r>
      <w:r w:rsidRPr="00A87A4A">
        <w:rPr>
          <w:rFonts w:asciiTheme="minorHAnsi" w:hAnsiTheme="minorHAnsi" w:cstheme="minorHAnsi"/>
        </w:rPr>
        <w:t> : bilan des ressources, élaboration d’un « plan B ».</w:t>
      </w:r>
    </w:p>
    <w:p w:rsidR="00502D60" w:rsidRPr="00A87A4A" w:rsidRDefault="00E953EB">
      <w:pPr>
        <w:rPr>
          <w:rFonts w:asciiTheme="minorHAnsi" w:hAnsiTheme="minorHAnsi" w:cstheme="minorHAnsi"/>
        </w:rPr>
      </w:pPr>
      <w:r w:rsidRPr="00A87A4A">
        <w:rPr>
          <w:rFonts w:asciiTheme="minorHAnsi" w:hAnsiTheme="minorHAnsi" w:cstheme="minorHAnsi"/>
        </w:rPr>
        <w:t>Une partie de ces séances sont données par des experts du CRIPEL.</w:t>
      </w:r>
    </w:p>
    <w:p w:rsidR="00502D60" w:rsidRPr="00A87A4A" w:rsidRDefault="00502D60">
      <w:pPr>
        <w:rPr>
          <w:rFonts w:asciiTheme="minorHAnsi" w:hAnsiTheme="minorHAnsi" w:cstheme="minorHAnsi"/>
        </w:rPr>
      </w:pPr>
    </w:p>
    <w:p w:rsidR="00502D60" w:rsidRPr="00BE1033" w:rsidRDefault="00E953EB">
      <w:pPr>
        <w:rPr>
          <w:rFonts w:asciiTheme="minorHAnsi" w:hAnsiTheme="minorHAnsi" w:cstheme="minorHAnsi"/>
        </w:rPr>
      </w:pPr>
      <w:r w:rsidRPr="00BE1033">
        <w:rPr>
          <w:rFonts w:asciiTheme="minorHAnsi" w:hAnsiTheme="minorHAnsi" w:cstheme="minorHAnsi"/>
          <w:u w:val="single"/>
        </w:rPr>
        <w:t>A côté de ces séances d’informations, d’autres activités sont programmées</w:t>
      </w:r>
      <w:r w:rsidRPr="00BE1033">
        <w:rPr>
          <w:rFonts w:asciiTheme="minorHAnsi" w:hAnsiTheme="minorHAnsi" w:cstheme="minorHAnsi"/>
        </w:rPr>
        <w:t> :</w:t>
      </w:r>
    </w:p>
    <w:p w:rsidR="00502D60" w:rsidRPr="00BE1033" w:rsidRDefault="00502D60">
      <w:pPr>
        <w:rPr>
          <w:rFonts w:asciiTheme="minorHAnsi" w:hAnsiTheme="minorHAnsi" w:cstheme="minorHAnsi"/>
        </w:rPr>
      </w:pPr>
    </w:p>
    <w:p w:rsidR="00502D60" w:rsidRPr="00BE1033" w:rsidRDefault="00E953EB">
      <w:pPr>
        <w:rPr>
          <w:rFonts w:asciiTheme="minorHAnsi" w:hAnsiTheme="minorHAnsi" w:cstheme="minorHAnsi"/>
        </w:rPr>
      </w:pPr>
      <w:r w:rsidRPr="00BE1033">
        <w:rPr>
          <w:rFonts w:asciiTheme="minorHAnsi" w:hAnsiTheme="minorHAnsi" w:cstheme="minorHAnsi"/>
        </w:rPr>
        <w:t xml:space="preserve">- </w:t>
      </w:r>
      <w:r w:rsidRPr="00892A04">
        <w:rPr>
          <w:rFonts w:asciiTheme="minorHAnsi" w:hAnsiTheme="minorHAnsi" w:cstheme="minorHAnsi"/>
          <w:b/>
        </w:rPr>
        <w:t>Visite de Liège</w:t>
      </w:r>
      <w:r w:rsidRPr="00BE1033">
        <w:rPr>
          <w:rFonts w:asciiTheme="minorHAnsi" w:hAnsiTheme="minorHAnsi" w:cstheme="minorHAnsi"/>
        </w:rPr>
        <w:t> : ASBL, insti</w:t>
      </w:r>
      <w:r w:rsidRPr="00BE1033">
        <w:rPr>
          <w:rFonts w:asciiTheme="minorHAnsi" w:hAnsiTheme="minorHAnsi" w:cstheme="minorHAnsi"/>
        </w:rPr>
        <w:t>tutions et lieux importants.</w:t>
      </w:r>
    </w:p>
    <w:p w:rsidR="00502D60" w:rsidRPr="00BE1033" w:rsidRDefault="00E953EB">
      <w:pPr>
        <w:rPr>
          <w:rFonts w:asciiTheme="minorHAnsi" w:hAnsiTheme="minorHAnsi" w:cstheme="minorHAnsi"/>
        </w:rPr>
      </w:pPr>
      <w:r w:rsidRPr="00BE1033">
        <w:rPr>
          <w:rFonts w:asciiTheme="minorHAnsi" w:hAnsiTheme="minorHAnsi" w:cstheme="minorHAnsi"/>
        </w:rPr>
        <w:t xml:space="preserve">- </w:t>
      </w:r>
      <w:r w:rsidRPr="00892A04">
        <w:rPr>
          <w:rFonts w:asciiTheme="minorHAnsi" w:hAnsiTheme="minorHAnsi" w:cstheme="minorHAnsi"/>
          <w:b/>
        </w:rPr>
        <w:t>Animation-conférence</w:t>
      </w:r>
      <w:r w:rsidRPr="00BE1033">
        <w:rPr>
          <w:rFonts w:asciiTheme="minorHAnsi" w:hAnsiTheme="minorHAnsi" w:cstheme="minorHAnsi"/>
        </w:rPr>
        <w:t xml:space="preserve"> sur la précarité hydrique (par l’ASBL ECOCONSO).</w:t>
      </w:r>
    </w:p>
    <w:p w:rsidR="00502D60" w:rsidRPr="00BE1033" w:rsidRDefault="00E953EB">
      <w:pPr>
        <w:rPr>
          <w:rFonts w:asciiTheme="minorHAnsi" w:hAnsiTheme="minorHAnsi" w:cstheme="minorHAnsi"/>
        </w:rPr>
      </w:pPr>
      <w:r w:rsidRPr="00892A04">
        <w:rPr>
          <w:rFonts w:asciiTheme="minorHAnsi" w:hAnsiTheme="minorHAnsi" w:cstheme="minorHAnsi"/>
        </w:rPr>
        <w:t xml:space="preserve">- </w:t>
      </w:r>
      <w:r w:rsidRPr="00892A04">
        <w:rPr>
          <w:rFonts w:asciiTheme="minorHAnsi" w:hAnsiTheme="minorHAnsi" w:cstheme="minorHAnsi"/>
          <w:b/>
        </w:rPr>
        <w:t xml:space="preserve">Projet </w:t>
      </w:r>
      <w:proofErr w:type="spellStart"/>
      <w:r w:rsidRPr="00892A04">
        <w:rPr>
          <w:rFonts w:asciiTheme="minorHAnsi" w:hAnsiTheme="minorHAnsi" w:cstheme="minorHAnsi"/>
          <w:b/>
        </w:rPr>
        <w:t>Aqualis</w:t>
      </w:r>
      <w:proofErr w:type="spellEnd"/>
      <w:r w:rsidRPr="00BE1033">
        <w:rPr>
          <w:rFonts w:asciiTheme="minorHAnsi" w:hAnsiTheme="minorHAnsi" w:cstheme="minorHAnsi"/>
        </w:rPr>
        <w:t xml:space="preserve"> (cf. document descriptif en attache).</w:t>
      </w:r>
    </w:p>
    <w:p w:rsidR="00502D60" w:rsidRPr="00BE1033" w:rsidRDefault="00E953EB">
      <w:pPr>
        <w:rPr>
          <w:rFonts w:asciiTheme="minorHAnsi" w:hAnsiTheme="minorHAnsi" w:cstheme="minorHAnsi"/>
        </w:rPr>
      </w:pPr>
      <w:r w:rsidRPr="00BE1033">
        <w:rPr>
          <w:rFonts w:asciiTheme="minorHAnsi" w:hAnsiTheme="minorHAnsi" w:cstheme="minorHAnsi"/>
        </w:rPr>
        <w:t xml:space="preserve">- </w:t>
      </w:r>
      <w:r w:rsidRPr="00892A04">
        <w:rPr>
          <w:rFonts w:asciiTheme="minorHAnsi" w:hAnsiTheme="minorHAnsi" w:cstheme="minorHAnsi"/>
          <w:b/>
        </w:rPr>
        <w:t>Activité d’expression artistique</w:t>
      </w:r>
      <w:r w:rsidRPr="00BE1033">
        <w:rPr>
          <w:rFonts w:asciiTheme="minorHAnsi" w:hAnsiTheme="minorHAnsi" w:cstheme="minorHAnsi"/>
        </w:rPr>
        <w:t xml:space="preserve"> : interpellation citoyenne par le biais de la peinture, du </w:t>
      </w:r>
      <w:r w:rsidRPr="00BE1033">
        <w:rPr>
          <w:rFonts w:asciiTheme="minorHAnsi" w:hAnsiTheme="minorHAnsi" w:cstheme="minorHAnsi"/>
        </w:rPr>
        <w:t>théâtre, de la vidéo…</w:t>
      </w:r>
    </w:p>
    <w:p w:rsidR="00502D60" w:rsidRPr="00BE1033" w:rsidRDefault="00E953EB">
      <w:pPr>
        <w:rPr>
          <w:rFonts w:asciiTheme="minorHAnsi" w:hAnsiTheme="minorHAnsi" w:cstheme="minorHAnsi"/>
        </w:rPr>
      </w:pPr>
      <w:r w:rsidRPr="00BE1033">
        <w:rPr>
          <w:rFonts w:asciiTheme="minorHAnsi" w:hAnsiTheme="minorHAnsi" w:cstheme="minorHAnsi"/>
        </w:rPr>
        <w:t xml:space="preserve">- </w:t>
      </w:r>
      <w:r w:rsidRPr="00892A04">
        <w:rPr>
          <w:rFonts w:asciiTheme="minorHAnsi" w:hAnsiTheme="minorHAnsi" w:cstheme="minorHAnsi"/>
          <w:b/>
        </w:rPr>
        <w:t>Cuisine du monde</w:t>
      </w:r>
      <w:r w:rsidRPr="00BE1033">
        <w:rPr>
          <w:rFonts w:asciiTheme="minorHAnsi" w:hAnsiTheme="minorHAnsi" w:cstheme="minorHAnsi"/>
        </w:rPr>
        <w:t xml:space="preserve"> : préparation d’un repas </w:t>
      </w:r>
      <w:r w:rsidRPr="00BE1033">
        <w:rPr>
          <w:rFonts w:asciiTheme="minorHAnsi" w:hAnsiTheme="minorHAnsi" w:cstheme="minorHAnsi"/>
        </w:rPr>
        <w:t>pour clôturer la formation.</w:t>
      </w:r>
    </w:p>
    <w:p w:rsidR="00502D60" w:rsidRPr="00BE1033" w:rsidRDefault="00502D60">
      <w:pPr>
        <w:rPr>
          <w:rFonts w:asciiTheme="minorHAnsi" w:hAnsiTheme="minorHAnsi" w:cstheme="minorHAnsi"/>
        </w:rPr>
      </w:pPr>
    </w:p>
    <w:p w:rsidR="00502D60" w:rsidRPr="00BE1033" w:rsidRDefault="00502D60">
      <w:pPr>
        <w:rPr>
          <w:rFonts w:asciiTheme="minorHAnsi" w:hAnsiTheme="minorHAnsi" w:cstheme="minorHAnsi"/>
        </w:rPr>
      </w:pPr>
    </w:p>
    <w:p w:rsidR="00502D60" w:rsidRPr="00BE1033" w:rsidRDefault="00E953EB">
      <w:pPr>
        <w:rPr>
          <w:rFonts w:asciiTheme="minorHAnsi" w:hAnsiTheme="minorHAnsi" w:cstheme="minorHAnsi"/>
          <w:b/>
          <w:bCs/>
        </w:rPr>
      </w:pPr>
      <w:r w:rsidRPr="00BE1033">
        <w:rPr>
          <w:rFonts w:asciiTheme="minorHAnsi" w:hAnsiTheme="minorHAnsi" w:cstheme="minorHAnsi"/>
          <w:b/>
          <w:bCs/>
        </w:rPr>
        <w:t>Déroulement du Dazibao « Après-Centre »</w:t>
      </w:r>
    </w:p>
    <w:p w:rsidR="00502D60" w:rsidRPr="00BE1033" w:rsidRDefault="00502D60">
      <w:pPr>
        <w:rPr>
          <w:rFonts w:asciiTheme="minorHAnsi" w:hAnsiTheme="minorHAnsi" w:cstheme="minorHAnsi"/>
        </w:rPr>
      </w:pPr>
    </w:p>
    <w:p w:rsidR="00502D60" w:rsidRPr="00BE1033" w:rsidRDefault="00E953EB">
      <w:pPr>
        <w:rPr>
          <w:rFonts w:asciiTheme="minorHAnsi" w:hAnsiTheme="minorHAnsi" w:cstheme="minorHAnsi"/>
        </w:rPr>
      </w:pPr>
      <w:r w:rsidRPr="00BE1033">
        <w:rPr>
          <w:rFonts w:asciiTheme="minorHAnsi" w:hAnsiTheme="minorHAnsi" w:cstheme="minorHAnsi"/>
        </w:rPr>
        <w:t>La formation se donne en 8 jours, répartis sur 2 semaines, de 9h30 à 1</w:t>
      </w:r>
      <w:r>
        <w:rPr>
          <w:rFonts w:asciiTheme="minorHAnsi" w:hAnsiTheme="minorHAnsi" w:cstheme="minorHAnsi"/>
        </w:rPr>
        <w:t>6h, au Monde des Possibles ASBL (rue des Champs 97, 4020 Liège)</w:t>
      </w:r>
    </w:p>
    <w:p w:rsidR="00502D60" w:rsidRPr="00BE1033" w:rsidRDefault="00502D60">
      <w:pPr>
        <w:rPr>
          <w:rFonts w:asciiTheme="minorHAnsi" w:hAnsiTheme="minorHAnsi" w:cstheme="minorHAnsi"/>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927"/>
        <w:gridCol w:w="1928"/>
        <w:gridCol w:w="1927"/>
        <w:gridCol w:w="1928"/>
        <w:gridCol w:w="1928"/>
      </w:tblGrid>
      <w:tr w:rsidR="00502D60" w:rsidRPr="00BE1033">
        <w:tc>
          <w:tcPr>
            <w:tcW w:w="1927" w:type="dxa"/>
            <w:tcBorders>
              <w:top w:val="single" w:sz="2" w:space="0" w:color="000000"/>
              <w:left w:val="single" w:sz="2" w:space="0" w:color="000000"/>
              <w:bottom w:val="single" w:sz="2" w:space="0" w:color="000000"/>
            </w:tcBorders>
            <w:shd w:val="clear" w:color="auto" w:fill="auto"/>
            <w:tcMar>
              <w:left w:w="54" w:type="dxa"/>
            </w:tcMar>
          </w:tcPr>
          <w:p w:rsidR="00502D60" w:rsidRPr="00BE1033" w:rsidRDefault="00502D60">
            <w:pPr>
              <w:pStyle w:val="TableContents"/>
              <w:rPr>
                <w:rFonts w:asciiTheme="minorHAnsi" w:hAnsiTheme="minorHAnsi" w:cstheme="minorHAnsi"/>
              </w:rPr>
            </w:pPr>
          </w:p>
        </w:tc>
        <w:tc>
          <w:tcPr>
            <w:tcW w:w="1928" w:type="dxa"/>
            <w:tcBorders>
              <w:top w:val="single" w:sz="2" w:space="0" w:color="000000"/>
              <w:left w:val="single" w:sz="2" w:space="0" w:color="000000"/>
              <w:bottom w:val="single" w:sz="2" w:space="0" w:color="000000"/>
            </w:tcBorders>
            <w:shd w:val="clear" w:color="auto" w:fill="CCCCCC"/>
            <w:tcMar>
              <w:left w:w="54" w:type="dxa"/>
            </w:tcMar>
          </w:tcPr>
          <w:p w:rsidR="00502D60" w:rsidRPr="00E953EB" w:rsidRDefault="00E953EB">
            <w:pPr>
              <w:pStyle w:val="TableContents"/>
              <w:rPr>
                <w:rFonts w:asciiTheme="minorHAnsi" w:hAnsiTheme="minorHAnsi" w:cstheme="minorHAnsi"/>
                <w:b/>
              </w:rPr>
            </w:pPr>
            <w:r w:rsidRPr="00E953EB">
              <w:rPr>
                <w:rFonts w:asciiTheme="minorHAnsi" w:hAnsiTheme="minorHAnsi" w:cstheme="minorHAnsi"/>
                <w:b/>
              </w:rPr>
              <w:t>Lundi</w:t>
            </w:r>
          </w:p>
        </w:tc>
        <w:tc>
          <w:tcPr>
            <w:tcW w:w="1927" w:type="dxa"/>
            <w:tcBorders>
              <w:top w:val="single" w:sz="2" w:space="0" w:color="000000"/>
              <w:left w:val="single" w:sz="2" w:space="0" w:color="000000"/>
              <w:bottom w:val="single" w:sz="2" w:space="0" w:color="000000"/>
            </w:tcBorders>
            <w:shd w:val="clear" w:color="auto" w:fill="CCCCCC"/>
            <w:tcMar>
              <w:left w:w="54" w:type="dxa"/>
            </w:tcMar>
          </w:tcPr>
          <w:p w:rsidR="00502D60" w:rsidRPr="00E953EB" w:rsidRDefault="00E953EB">
            <w:pPr>
              <w:pStyle w:val="TableContents"/>
              <w:rPr>
                <w:rFonts w:asciiTheme="minorHAnsi" w:hAnsiTheme="minorHAnsi" w:cstheme="minorHAnsi"/>
                <w:b/>
              </w:rPr>
            </w:pPr>
            <w:r w:rsidRPr="00E953EB">
              <w:rPr>
                <w:rFonts w:asciiTheme="minorHAnsi" w:hAnsiTheme="minorHAnsi" w:cstheme="minorHAnsi"/>
                <w:b/>
              </w:rPr>
              <w:t>Mardi</w:t>
            </w:r>
          </w:p>
        </w:tc>
        <w:tc>
          <w:tcPr>
            <w:tcW w:w="1928" w:type="dxa"/>
            <w:tcBorders>
              <w:top w:val="single" w:sz="2" w:space="0" w:color="000000"/>
              <w:left w:val="single" w:sz="2" w:space="0" w:color="000000"/>
              <w:bottom w:val="single" w:sz="2" w:space="0" w:color="000000"/>
            </w:tcBorders>
            <w:shd w:val="clear" w:color="auto" w:fill="CCCCCC"/>
            <w:tcMar>
              <w:left w:w="54" w:type="dxa"/>
            </w:tcMar>
          </w:tcPr>
          <w:p w:rsidR="00502D60" w:rsidRPr="00E953EB" w:rsidRDefault="00E953EB">
            <w:pPr>
              <w:pStyle w:val="TableContents"/>
              <w:rPr>
                <w:rFonts w:asciiTheme="minorHAnsi" w:hAnsiTheme="minorHAnsi" w:cstheme="minorHAnsi"/>
                <w:b/>
              </w:rPr>
            </w:pPr>
            <w:r w:rsidRPr="00E953EB">
              <w:rPr>
                <w:rFonts w:asciiTheme="minorHAnsi" w:hAnsiTheme="minorHAnsi" w:cstheme="minorHAnsi"/>
                <w:b/>
              </w:rPr>
              <w:t>Jeudi</w:t>
            </w:r>
          </w:p>
        </w:tc>
        <w:tc>
          <w:tcPr>
            <w:tcW w:w="1928" w:type="dxa"/>
            <w:tcBorders>
              <w:top w:val="single" w:sz="2" w:space="0" w:color="000000"/>
              <w:left w:val="single" w:sz="2" w:space="0" w:color="000000"/>
              <w:bottom w:val="single" w:sz="2" w:space="0" w:color="000000"/>
              <w:right w:val="single" w:sz="2" w:space="0" w:color="000000"/>
            </w:tcBorders>
            <w:shd w:val="clear" w:color="auto" w:fill="CCCCCC"/>
            <w:tcMar>
              <w:left w:w="54" w:type="dxa"/>
            </w:tcMar>
          </w:tcPr>
          <w:p w:rsidR="00502D60" w:rsidRPr="00E953EB" w:rsidRDefault="00E953EB">
            <w:pPr>
              <w:pStyle w:val="TableContents"/>
              <w:rPr>
                <w:rFonts w:asciiTheme="minorHAnsi" w:hAnsiTheme="minorHAnsi" w:cstheme="minorHAnsi"/>
                <w:b/>
              </w:rPr>
            </w:pPr>
            <w:r w:rsidRPr="00E953EB">
              <w:rPr>
                <w:rFonts w:asciiTheme="minorHAnsi" w:hAnsiTheme="minorHAnsi" w:cstheme="minorHAnsi"/>
                <w:b/>
              </w:rPr>
              <w:t>Vendredi</w:t>
            </w:r>
          </w:p>
        </w:tc>
      </w:tr>
      <w:tr w:rsidR="00502D60" w:rsidRPr="00BE1033">
        <w:tc>
          <w:tcPr>
            <w:tcW w:w="1927" w:type="dxa"/>
            <w:tcBorders>
              <w:left w:val="single" w:sz="2" w:space="0" w:color="000000"/>
              <w:bottom w:val="single" w:sz="2" w:space="0" w:color="000000"/>
            </w:tcBorders>
            <w:shd w:val="clear" w:color="auto" w:fill="CCCCCC"/>
            <w:tcMar>
              <w:left w:w="54" w:type="dxa"/>
            </w:tcMar>
          </w:tcPr>
          <w:p w:rsidR="00502D60" w:rsidRPr="00E953EB" w:rsidRDefault="00E953EB">
            <w:pPr>
              <w:pStyle w:val="TableContents"/>
              <w:rPr>
                <w:rFonts w:asciiTheme="minorHAnsi" w:hAnsiTheme="minorHAnsi" w:cstheme="minorHAnsi"/>
                <w:b/>
              </w:rPr>
            </w:pPr>
            <w:r w:rsidRPr="00E953EB">
              <w:rPr>
                <w:rFonts w:asciiTheme="minorHAnsi" w:hAnsiTheme="minorHAnsi" w:cstheme="minorHAnsi"/>
                <w:b/>
              </w:rPr>
              <w:t>Semaine 1</w:t>
            </w:r>
          </w:p>
        </w:tc>
        <w:tc>
          <w:tcPr>
            <w:tcW w:w="1928" w:type="dxa"/>
            <w:tcBorders>
              <w:left w:val="single" w:sz="2" w:space="0" w:color="000000"/>
              <w:bottom w:val="single" w:sz="2" w:space="0" w:color="000000"/>
            </w:tcBorders>
            <w:shd w:val="clear" w:color="auto" w:fill="auto"/>
            <w:tcMar>
              <w:left w:w="54" w:type="dxa"/>
            </w:tcMar>
          </w:tcPr>
          <w:p w:rsidR="00502D60" w:rsidRPr="00BE1033" w:rsidRDefault="00E953EB">
            <w:pPr>
              <w:pStyle w:val="TableContents"/>
              <w:rPr>
                <w:rFonts w:asciiTheme="minorHAnsi" w:hAnsiTheme="minorHAnsi" w:cstheme="minorHAnsi"/>
              </w:rPr>
            </w:pPr>
            <w:r w:rsidRPr="00BE1033">
              <w:rPr>
                <w:rFonts w:asciiTheme="minorHAnsi" w:hAnsiTheme="minorHAnsi" w:cstheme="minorHAnsi"/>
              </w:rPr>
              <w:t>Introduction</w:t>
            </w:r>
          </w:p>
          <w:p w:rsidR="00502D60" w:rsidRPr="00BE1033" w:rsidRDefault="00E953EB">
            <w:pPr>
              <w:pStyle w:val="TableContents"/>
              <w:rPr>
                <w:rFonts w:asciiTheme="minorHAnsi" w:hAnsiTheme="minorHAnsi" w:cstheme="minorHAnsi"/>
              </w:rPr>
            </w:pPr>
            <w:r w:rsidRPr="00BE1033">
              <w:rPr>
                <w:rFonts w:asciiTheme="minorHAnsi" w:hAnsiTheme="minorHAnsi" w:cstheme="minorHAnsi"/>
              </w:rPr>
              <w:t>Logement</w:t>
            </w:r>
          </w:p>
        </w:tc>
        <w:tc>
          <w:tcPr>
            <w:tcW w:w="1927" w:type="dxa"/>
            <w:tcBorders>
              <w:left w:val="single" w:sz="2" w:space="0" w:color="000000"/>
              <w:bottom w:val="single" w:sz="2" w:space="0" w:color="000000"/>
            </w:tcBorders>
            <w:shd w:val="clear" w:color="auto" w:fill="auto"/>
            <w:tcMar>
              <w:left w:w="54" w:type="dxa"/>
            </w:tcMar>
          </w:tcPr>
          <w:p w:rsidR="00502D60" w:rsidRPr="00BE1033" w:rsidRDefault="00E953EB">
            <w:pPr>
              <w:pStyle w:val="TableContents"/>
              <w:rPr>
                <w:rFonts w:asciiTheme="minorHAnsi" w:hAnsiTheme="minorHAnsi" w:cstheme="minorHAnsi"/>
              </w:rPr>
            </w:pPr>
            <w:r w:rsidRPr="00BE1033">
              <w:rPr>
                <w:rFonts w:asciiTheme="minorHAnsi" w:hAnsiTheme="minorHAnsi" w:cstheme="minorHAnsi"/>
              </w:rPr>
              <w:t>Visite de Liège</w:t>
            </w:r>
          </w:p>
          <w:p w:rsidR="00502D60" w:rsidRPr="00BE1033" w:rsidRDefault="00E953EB">
            <w:pPr>
              <w:pStyle w:val="TableContents"/>
              <w:rPr>
                <w:rFonts w:asciiTheme="minorHAnsi" w:hAnsiTheme="minorHAnsi" w:cstheme="minorHAnsi"/>
              </w:rPr>
            </w:pPr>
            <w:r w:rsidRPr="00BE1033">
              <w:rPr>
                <w:rFonts w:asciiTheme="minorHAnsi" w:hAnsiTheme="minorHAnsi" w:cstheme="minorHAnsi"/>
              </w:rPr>
              <w:t>Conférence</w:t>
            </w:r>
          </w:p>
        </w:tc>
        <w:tc>
          <w:tcPr>
            <w:tcW w:w="1928" w:type="dxa"/>
            <w:tcBorders>
              <w:left w:val="single" w:sz="2" w:space="0" w:color="000000"/>
              <w:bottom w:val="single" w:sz="2" w:space="0" w:color="000000"/>
            </w:tcBorders>
            <w:shd w:val="clear" w:color="auto" w:fill="auto"/>
            <w:tcMar>
              <w:left w:w="54" w:type="dxa"/>
            </w:tcMar>
          </w:tcPr>
          <w:p w:rsidR="00502D60" w:rsidRPr="00BE1033" w:rsidRDefault="00E953EB">
            <w:pPr>
              <w:pStyle w:val="TableContents"/>
              <w:rPr>
                <w:rFonts w:asciiTheme="minorHAnsi" w:hAnsiTheme="minorHAnsi" w:cstheme="minorHAnsi"/>
              </w:rPr>
            </w:pPr>
            <w:r w:rsidRPr="00BE1033">
              <w:rPr>
                <w:rFonts w:asciiTheme="minorHAnsi" w:hAnsiTheme="minorHAnsi" w:cstheme="minorHAnsi"/>
              </w:rPr>
              <w:t>Activité artistique</w:t>
            </w:r>
          </w:p>
        </w:tc>
        <w:tc>
          <w:tcPr>
            <w:tcW w:w="1928" w:type="dxa"/>
            <w:tcBorders>
              <w:left w:val="single" w:sz="2" w:space="0" w:color="000000"/>
              <w:bottom w:val="single" w:sz="2" w:space="0" w:color="000000"/>
              <w:right w:val="single" w:sz="2" w:space="0" w:color="000000"/>
            </w:tcBorders>
            <w:shd w:val="clear" w:color="auto" w:fill="auto"/>
            <w:tcMar>
              <w:left w:w="54" w:type="dxa"/>
            </w:tcMar>
          </w:tcPr>
          <w:p w:rsidR="00502D60" w:rsidRPr="00BE1033" w:rsidRDefault="00E953EB">
            <w:pPr>
              <w:pStyle w:val="TableContents"/>
              <w:rPr>
                <w:rFonts w:asciiTheme="minorHAnsi" w:hAnsiTheme="minorHAnsi" w:cstheme="minorHAnsi"/>
              </w:rPr>
            </w:pPr>
            <w:r w:rsidRPr="00BE1033">
              <w:rPr>
                <w:rFonts w:asciiTheme="minorHAnsi" w:hAnsiTheme="minorHAnsi" w:cstheme="minorHAnsi"/>
              </w:rPr>
              <w:t>Santé</w:t>
            </w:r>
          </w:p>
          <w:p w:rsidR="00502D60" w:rsidRPr="00BE1033" w:rsidRDefault="00E953EB">
            <w:pPr>
              <w:pStyle w:val="TableContents"/>
              <w:rPr>
                <w:rFonts w:asciiTheme="minorHAnsi" w:hAnsiTheme="minorHAnsi" w:cstheme="minorHAnsi"/>
              </w:rPr>
            </w:pPr>
            <w:r w:rsidRPr="00BE1033">
              <w:rPr>
                <w:rFonts w:asciiTheme="minorHAnsi" w:hAnsiTheme="minorHAnsi" w:cstheme="minorHAnsi"/>
              </w:rPr>
              <w:t>Informatique</w:t>
            </w:r>
          </w:p>
        </w:tc>
      </w:tr>
      <w:tr w:rsidR="00502D60" w:rsidRPr="00BE1033">
        <w:tc>
          <w:tcPr>
            <w:tcW w:w="1927" w:type="dxa"/>
            <w:tcBorders>
              <w:left w:val="single" w:sz="2" w:space="0" w:color="000000"/>
              <w:bottom w:val="single" w:sz="2" w:space="0" w:color="000000"/>
            </w:tcBorders>
            <w:shd w:val="clear" w:color="auto" w:fill="CCCCCC"/>
            <w:tcMar>
              <w:left w:w="54" w:type="dxa"/>
            </w:tcMar>
          </w:tcPr>
          <w:p w:rsidR="00502D60" w:rsidRPr="00E953EB" w:rsidRDefault="00E953EB">
            <w:pPr>
              <w:pStyle w:val="TableContents"/>
              <w:rPr>
                <w:rFonts w:asciiTheme="minorHAnsi" w:hAnsiTheme="minorHAnsi" w:cstheme="minorHAnsi"/>
                <w:b/>
              </w:rPr>
            </w:pPr>
            <w:r w:rsidRPr="00E953EB">
              <w:rPr>
                <w:rFonts w:asciiTheme="minorHAnsi" w:hAnsiTheme="minorHAnsi" w:cstheme="minorHAnsi"/>
                <w:b/>
              </w:rPr>
              <w:t>Semaine 2</w:t>
            </w:r>
          </w:p>
        </w:tc>
        <w:tc>
          <w:tcPr>
            <w:tcW w:w="1928" w:type="dxa"/>
            <w:tcBorders>
              <w:left w:val="single" w:sz="2" w:space="0" w:color="000000"/>
              <w:bottom w:val="single" w:sz="2" w:space="0" w:color="000000"/>
            </w:tcBorders>
            <w:shd w:val="clear" w:color="auto" w:fill="auto"/>
            <w:tcMar>
              <w:left w:w="54" w:type="dxa"/>
            </w:tcMar>
          </w:tcPr>
          <w:p w:rsidR="00502D60" w:rsidRPr="00BE1033" w:rsidRDefault="00E953EB">
            <w:pPr>
              <w:pStyle w:val="TableContents"/>
              <w:rPr>
                <w:rFonts w:asciiTheme="minorHAnsi" w:hAnsiTheme="minorHAnsi" w:cstheme="minorHAnsi"/>
              </w:rPr>
            </w:pPr>
            <w:r w:rsidRPr="00BE1033">
              <w:rPr>
                <w:rFonts w:asciiTheme="minorHAnsi" w:hAnsiTheme="minorHAnsi" w:cstheme="minorHAnsi"/>
              </w:rPr>
              <w:t>Emploi</w:t>
            </w:r>
          </w:p>
        </w:tc>
        <w:tc>
          <w:tcPr>
            <w:tcW w:w="1927" w:type="dxa"/>
            <w:tcBorders>
              <w:left w:val="single" w:sz="2" w:space="0" w:color="000000"/>
              <w:bottom w:val="single" w:sz="2" w:space="0" w:color="000000"/>
            </w:tcBorders>
            <w:shd w:val="clear" w:color="auto" w:fill="auto"/>
            <w:tcMar>
              <w:left w:w="54" w:type="dxa"/>
            </w:tcMar>
          </w:tcPr>
          <w:p w:rsidR="00502D60" w:rsidRPr="00BE1033" w:rsidRDefault="00E953EB">
            <w:pPr>
              <w:pStyle w:val="TableContents"/>
              <w:rPr>
                <w:rFonts w:asciiTheme="minorHAnsi" w:hAnsiTheme="minorHAnsi" w:cstheme="minorHAnsi"/>
              </w:rPr>
            </w:pPr>
            <w:r w:rsidRPr="00BE1033">
              <w:rPr>
                <w:rFonts w:asciiTheme="minorHAnsi" w:hAnsiTheme="minorHAnsi" w:cstheme="minorHAnsi"/>
              </w:rPr>
              <w:t>Famille</w:t>
            </w:r>
          </w:p>
          <w:p w:rsidR="00502D60" w:rsidRPr="00BE1033" w:rsidRDefault="00E953EB">
            <w:pPr>
              <w:pStyle w:val="TableContents"/>
              <w:rPr>
                <w:rFonts w:asciiTheme="minorHAnsi" w:hAnsiTheme="minorHAnsi" w:cstheme="minorHAnsi"/>
              </w:rPr>
            </w:pPr>
            <w:r w:rsidRPr="00BE1033">
              <w:rPr>
                <w:rFonts w:asciiTheme="minorHAnsi" w:hAnsiTheme="minorHAnsi" w:cstheme="minorHAnsi"/>
              </w:rPr>
              <w:t>Séjour</w:t>
            </w:r>
          </w:p>
        </w:tc>
        <w:tc>
          <w:tcPr>
            <w:tcW w:w="1928" w:type="dxa"/>
            <w:tcBorders>
              <w:left w:val="single" w:sz="2" w:space="0" w:color="000000"/>
              <w:bottom w:val="single" w:sz="2" w:space="0" w:color="000000"/>
            </w:tcBorders>
            <w:shd w:val="clear" w:color="auto" w:fill="auto"/>
            <w:tcMar>
              <w:left w:w="54" w:type="dxa"/>
            </w:tcMar>
          </w:tcPr>
          <w:p w:rsidR="00502D60" w:rsidRPr="00BE1033" w:rsidRDefault="00E953EB">
            <w:pPr>
              <w:pStyle w:val="TableContents"/>
              <w:rPr>
                <w:rFonts w:asciiTheme="minorHAnsi" w:hAnsiTheme="minorHAnsi" w:cstheme="minorHAnsi"/>
              </w:rPr>
            </w:pPr>
            <w:r w:rsidRPr="00BE1033">
              <w:rPr>
                <w:rFonts w:asciiTheme="minorHAnsi" w:hAnsiTheme="minorHAnsi" w:cstheme="minorHAnsi"/>
              </w:rPr>
              <w:t>Activité artistique</w:t>
            </w:r>
          </w:p>
        </w:tc>
        <w:tc>
          <w:tcPr>
            <w:tcW w:w="1928" w:type="dxa"/>
            <w:tcBorders>
              <w:left w:val="single" w:sz="2" w:space="0" w:color="000000"/>
              <w:bottom w:val="single" w:sz="2" w:space="0" w:color="000000"/>
              <w:right w:val="single" w:sz="2" w:space="0" w:color="000000"/>
            </w:tcBorders>
            <w:shd w:val="clear" w:color="auto" w:fill="auto"/>
            <w:tcMar>
              <w:left w:w="54" w:type="dxa"/>
            </w:tcMar>
          </w:tcPr>
          <w:p w:rsidR="00502D60" w:rsidRPr="00BE1033" w:rsidRDefault="00E953EB">
            <w:pPr>
              <w:pStyle w:val="TableContents"/>
              <w:rPr>
                <w:rFonts w:asciiTheme="minorHAnsi" w:hAnsiTheme="minorHAnsi" w:cstheme="minorHAnsi"/>
              </w:rPr>
            </w:pPr>
            <w:r w:rsidRPr="00BE1033">
              <w:rPr>
                <w:rFonts w:asciiTheme="minorHAnsi" w:hAnsiTheme="minorHAnsi" w:cstheme="minorHAnsi"/>
              </w:rPr>
              <w:t>Citoyenneté</w:t>
            </w:r>
          </w:p>
          <w:p w:rsidR="00502D60" w:rsidRPr="00BE1033" w:rsidRDefault="00E953EB">
            <w:pPr>
              <w:pStyle w:val="TableContents"/>
              <w:rPr>
                <w:rFonts w:asciiTheme="minorHAnsi" w:hAnsiTheme="minorHAnsi" w:cstheme="minorHAnsi"/>
              </w:rPr>
            </w:pPr>
            <w:r w:rsidRPr="00BE1033">
              <w:rPr>
                <w:rFonts w:asciiTheme="minorHAnsi" w:hAnsiTheme="minorHAnsi" w:cstheme="minorHAnsi"/>
              </w:rPr>
              <w:t>Clôture</w:t>
            </w:r>
          </w:p>
        </w:tc>
      </w:tr>
    </w:tbl>
    <w:p w:rsidR="00502D60" w:rsidRPr="00BE1033" w:rsidRDefault="00E953EB">
      <w:pPr>
        <w:rPr>
          <w:rFonts w:asciiTheme="minorHAnsi" w:hAnsiTheme="minorHAnsi" w:cstheme="minorHAnsi"/>
        </w:rPr>
      </w:pPr>
      <w:r w:rsidRPr="00BE1033">
        <w:rPr>
          <w:rFonts w:asciiTheme="minorHAnsi" w:hAnsiTheme="minorHAnsi" w:cstheme="minorHAnsi"/>
        </w:rPr>
        <w:t xml:space="preserve"> </w:t>
      </w:r>
      <w:bookmarkStart w:id="0" w:name="_GoBack"/>
      <w:bookmarkEnd w:id="0"/>
    </w:p>
    <w:p w:rsidR="00502D60" w:rsidRPr="00BE1033" w:rsidRDefault="00502D60">
      <w:pPr>
        <w:rPr>
          <w:rFonts w:asciiTheme="minorHAnsi" w:hAnsiTheme="minorHAnsi" w:cstheme="minorHAnsi"/>
        </w:rPr>
      </w:pPr>
    </w:p>
    <w:tbl>
      <w:tblPr>
        <w:tblW w:w="7200" w:type="dxa"/>
        <w:tblInd w:w="13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7200"/>
      </w:tblGrid>
      <w:tr w:rsidR="00502D60" w:rsidRPr="00BE1033">
        <w:tc>
          <w:tcPr>
            <w:tcW w:w="7200" w:type="dxa"/>
            <w:tcBorders>
              <w:top w:val="single" w:sz="2" w:space="0" w:color="000000"/>
              <w:left w:val="single" w:sz="2" w:space="0" w:color="000000"/>
              <w:bottom w:val="single" w:sz="2" w:space="0" w:color="000000"/>
              <w:right w:val="single" w:sz="2" w:space="0" w:color="000000"/>
            </w:tcBorders>
            <w:shd w:val="clear" w:color="auto" w:fill="AEA79F"/>
            <w:tcMar>
              <w:left w:w="54" w:type="dxa"/>
            </w:tcMar>
          </w:tcPr>
          <w:p w:rsidR="00502D60" w:rsidRPr="00E953EB" w:rsidRDefault="00E953EB">
            <w:pPr>
              <w:pStyle w:val="Corpsdetexte"/>
              <w:spacing w:after="0"/>
              <w:jc w:val="center"/>
              <w:rPr>
                <w:rFonts w:asciiTheme="minorHAnsi" w:hAnsiTheme="minorHAnsi" w:cstheme="minorHAnsi"/>
                <w:b/>
                <w:szCs w:val="22"/>
              </w:rPr>
            </w:pPr>
            <w:r w:rsidRPr="00E953EB">
              <w:rPr>
                <w:rFonts w:asciiTheme="minorHAnsi" w:hAnsiTheme="minorHAnsi" w:cstheme="minorHAnsi"/>
                <w:b/>
                <w:szCs w:val="22"/>
              </w:rPr>
              <w:t>Dazibao juridique et social</w:t>
            </w:r>
          </w:p>
        </w:tc>
      </w:tr>
      <w:tr w:rsidR="00502D60" w:rsidRPr="00BE1033">
        <w:tc>
          <w:tcPr>
            <w:tcW w:w="7200" w:type="dxa"/>
            <w:tcBorders>
              <w:left w:val="single" w:sz="2" w:space="0" w:color="000000"/>
              <w:bottom w:val="single" w:sz="2" w:space="0" w:color="000000"/>
              <w:right w:val="single" w:sz="2" w:space="0" w:color="000000"/>
            </w:tcBorders>
            <w:shd w:val="clear" w:color="auto" w:fill="auto"/>
            <w:tcMar>
              <w:left w:w="54" w:type="dxa"/>
            </w:tcMar>
          </w:tcPr>
          <w:p w:rsidR="00502D60" w:rsidRPr="00E953EB" w:rsidRDefault="00E953EB">
            <w:pPr>
              <w:pStyle w:val="Corpsdetexte"/>
              <w:spacing w:after="0"/>
              <w:jc w:val="center"/>
              <w:rPr>
                <w:rFonts w:asciiTheme="minorHAnsi" w:hAnsiTheme="minorHAnsi" w:cstheme="minorHAnsi"/>
                <w:szCs w:val="22"/>
              </w:rPr>
            </w:pPr>
            <w:r w:rsidRPr="00E953EB">
              <w:rPr>
                <w:rFonts w:asciiTheme="minorHAnsi" w:hAnsiTheme="minorHAnsi" w:cstheme="minorHAnsi"/>
                <w:szCs w:val="22"/>
              </w:rPr>
              <w:t>Du 8 au 19 janvier</w:t>
            </w:r>
          </w:p>
        </w:tc>
      </w:tr>
      <w:tr w:rsidR="00502D60" w:rsidRPr="00BE1033">
        <w:tc>
          <w:tcPr>
            <w:tcW w:w="7200" w:type="dxa"/>
            <w:tcBorders>
              <w:left w:val="single" w:sz="2" w:space="0" w:color="000000"/>
              <w:bottom w:val="single" w:sz="2" w:space="0" w:color="000000"/>
              <w:right w:val="single" w:sz="2" w:space="0" w:color="000000"/>
            </w:tcBorders>
            <w:shd w:val="clear" w:color="auto" w:fill="auto"/>
            <w:tcMar>
              <w:left w:w="54" w:type="dxa"/>
            </w:tcMar>
          </w:tcPr>
          <w:p w:rsidR="00502D60" w:rsidRPr="00E953EB" w:rsidRDefault="00E953EB">
            <w:pPr>
              <w:pStyle w:val="Corpsdetexte"/>
              <w:spacing w:after="0"/>
              <w:jc w:val="center"/>
              <w:rPr>
                <w:rFonts w:asciiTheme="minorHAnsi" w:hAnsiTheme="minorHAnsi" w:cstheme="minorHAnsi"/>
                <w:szCs w:val="22"/>
              </w:rPr>
            </w:pPr>
            <w:r w:rsidRPr="00E953EB">
              <w:rPr>
                <w:rFonts w:asciiTheme="minorHAnsi" w:hAnsiTheme="minorHAnsi" w:cstheme="minorHAnsi"/>
                <w:szCs w:val="22"/>
              </w:rPr>
              <w:t xml:space="preserve">Du 5 au </w:t>
            </w:r>
            <w:r w:rsidRPr="00E953EB">
              <w:rPr>
                <w:rFonts w:asciiTheme="minorHAnsi" w:hAnsiTheme="minorHAnsi" w:cstheme="minorHAnsi"/>
                <w:szCs w:val="22"/>
              </w:rPr>
              <w:t>16 mars</w:t>
            </w:r>
          </w:p>
        </w:tc>
      </w:tr>
      <w:tr w:rsidR="00502D60" w:rsidRPr="00BE1033">
        <w:tc>
          <w:tcPr>
            <w:tcW w:w="7200" w:type="dxa"/>
            <w:tcBorders>
              <w:left w:val="single" w:sz="2" w:space="0" w:color="000000"/>
              <w:bottom w:val="single" w:sz="2" w:space="0" w:color="000000"/>
              <w:right w:val="single" w:sz="2" w:space="0" w:color="000000"/>
            </w:tcBorders>
            <w:shd w:val="clear" w:color="auto" w:fill="auto"/>
            <w:tcMar>
              <w:left w:w="54" w:type="dxa"/>
            </w:tcMar>
          </w:tcPr>
          <w:p w:rsidR="00502D60" w:rsidRPr="00E953EB" w:rsidRDefault="00E953EB">
            <w:pPr>
              <w:pStyle w:val="Corpsdetexte"/>
              <w:spacing w:after="0"/>
              <w:jc w:val="center"/>
              <w:rPr>
                <w:rFonts w:asciiTheme="minorHAnsi" w:hAnsiTheme="minorHAnsi" w:cstheme="minorHAnsi"/>
                <w:szCs w:val="22"/>
              </w:rPr>
            </w:pPr>
            <w:r w:rsidRPr="00E953EB">
              <w:rPr>
                <w:rFonts w:asciiTheme="minorHAnsi" w:hAnsiTheme="minorHAnsi" w:cstheme="minorHAnsi"/>
                <w:szCs w:val="22"/>
              </w:rPr>
              <w:t>Du 4 au 15 juin</w:t>
            </w:r>
          </w:p>
        </w:tc>
      </w:tr>
      <w:tr w:rsidR="00502D60" w:rsidRPr="00BE1033">
        <w:tc>
          <w:tcPr>
            <w:tcW w:w="7200" w:type="dxa"/>
            <w:tcBorders>
              <w:left w:val="single" w:sz="2" w:space="0" w:color="000000"/>
              <w:bottom w:val="single" w:sz="2" w:space="0" w:color="000000"/>
              <w:right w:val="single" w:sz="2" w:space="0" w:color="000000"/>
            </w:tcBorders>
            <w:shd w:val="clear" w:color="auto" w:fill="auto"/>
            <w:tcMar>
              <w:left w:w="54" w:type="dxa"/>
            </w:tcMar>
          </w:tcPr>
          <w:p w:rsidR="00502D60" w:rsidRPr="00E953EB" w:rsidRDefault="00E953EB">
            <w:pPr>
              <w:pStyle w:val="Corpsdetexte"/>
              <w:spacing w:after="0"/>
              <w:jc w:val="center"/>
              <w:rPr>
                <w:rFonts w:asciiTheme="minorHAnsi" w:hAnsiTheme="minorHAnsi" w:cstheme="minorHAnsi"/>
                <w:szCs w:val="22"/>
              </w:rPr>
            </w:pPr>
            <w:r w:rsidRPr="00E953EB">
              <w:rPr>
                <w:rFonts w:asciiTheme="minorHAnsi" w:hAnsiTheme="minorHAnsi" w:cstheme="minorHAnsi"/>
                <w:szCs w:val="22"/>
              </w:rPr>
              <w:t>Du 26 novembre au 7 décembre</w:t>
            </w:r>
          </w:p>
        </w:tc>
      </w:tr>
    </w:tbl>
    <w:p w:rsidR="00502D60" w:rsidRPr="00BE1033" w:rsidRDefault="00502D60">
      <w:pPr>
        <w:rPr>
          <w:rFonts w:asciiTheme="minorHAnsi" w:hAnsiTheme="minorHAnsi" w:cstheme="minorHAnsi"/>
        </w:rPr>
      </w:pPr>
    </w:p>
    <w:p w:rsidR="00502D60" w:rsidRPr="00BE1033" w:rsidRDefault="00E953EB">
      <w:pPr>
        <w:rPr>
          <w:rFonts w:asciiTheme="minorHAnsi" w:hAnsiTheme="minorHAnsi" w:cstheme="minorHAnsi"/>
        </w:rPr>
      </w:pPr>
      <w:r w:rsidRPr="00BE1033">
        <w:rPr>
          <w:rFonts w:asciiTheme="minorHAnsi" w:hAnsiTheme="minorHAnsi" w:cstheme="minorHAnsi"/>
        </w:rPr>
        <w:t xml:space="preserve">N’hésitez pas à nous contacter pour plus d’informations : </w:t>
      </w:r>
      <w:hyperlink r:id="rId4">
        <w:r w:rsidRPr="00BE1033">
          <w:rPr>
            <w:rStyle w:val="InternetLink"/>
            <w:rFonts w:asciiTheme="minorHAnsi" w:hAnsiTheme="minorHAnsi" w:cstheme="minorHAnsi"/>
          </w:rPr>
          <w:t>pauline.mallet4@gmail.com</w:t>
        </w:r>
      </w:hyperlink>
    </w:p>
    <w:p w:rsidR="00502D60" w:rsidRPr="00BE1033" w:rsidRDefault="00502D60">
      <w:pPr>
        <w:rPr>
          <w:rFonts w:asciiTheme="minorHAnsi" w:hAnsiTheme="minorHAnsi" w:cstheme="minorHAnsi"/>
        </w:rPr>
      </w:pPr>
    </w:p>
    <w:sectPr w:rsidR="00502D60" w:rsidRPr="00BE103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60"/>
    <w:rsid w:val="00502D60"/>
    <w:rsid w:val="00892A04"/>
    <w:rsid w:val="00A87A4A"/>
    <w:rsid w:val="00BE1033"/>
    <w:rsid w:val="00E95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680A"/>
  <w15:docId w15:val="{ED078B01-1047-4454-B2D1-BBC0DAE0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fr-B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ine.mallet4@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dc:description/>
  <cp:lastModifiedBy>Pauline</cp:lastModifiedBy>
  <cp:revision>5</cp:revision>
  <dcterms:created xsi:type="dcterms:W3CDTF">2017-12-05T08:30:00Z</dcterms:created>
  <dcterms:modified xsi:type="dcterms:W3CDTF">2017-12-05T08:34:00Z</dcterms:modified>
  <dc:language>fr-BE</dc:language>
</cp:coreProperties>
</file>